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58" w:rsidRPr="00C37F19" w:rsidRDefault="00C61758" w:rsidP="00C61758">
      <w:pPr>
        <w:jc w:val="center"/>
        <w:rPr>
          <w:rFonts w:ascii="Arial" w:hAnsi="Arial" w:cs="Arial"/>
          <w:b/>
        </w:rPr>
      </w:pPr>
      <w:r w:rsidRPr="00C37F1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-201295</wp:posOffset>
            </wp:positionV>
            <wp:extent cx="2016760" cy="853440"/>
            <wp:effectExtent l="19050" t="0" r="2540" b="0"/>
            <wp:wrapSquare wrapText="bothSides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7F19">
        <w:rPr>
          <w:rFonts w:ascii="Arial" w:hAnsi="Arial" w:cs="Arial"/>
          <w:b/>
        </w:rPr>
        <w:t>Stredná odborná škola polytechnická a služieb</w:t>
      </w:r>
    </w:p>
    <w:p w:rsidR="00C61758" w:rsidRPr="00C37F19" w:rsidRDefault="00C61758" w:rsidP="00C61758">
      <w:pPr>
        <w:pStyle w:val="Hlavika"/>
        <w:tabs>
          <w:tab w:val="clear" w:pos="4536"/>
          <w:tab w:val="center" w:pos="6237"/>
        </w:tabs>
        <w:jc w:val="center"/>
        <w:rPr>
          <w:rFonts w:ascii="Arial" w:hAnsi="Arial" w:cs="Arial"/>
          <w:b/>
        </w:rPr>
      </w:pPr>
      <w:proofErr w:type="spellStart"/>
      <w:r w:rsidRPr="00C37F19">
        <w:rPr>
          <w:rFonts w:ascii="Arial" w:hAnsi="Arial" w:cs="Arial"/>
          <w:b/>
        </w:rPr>
        <w:t>arm</w:t>
      </w:r>
      <w:proofErr w:type="spellEnd"/>
      <w:r w:rsidRPr="00C37F19">
        <w:rPr>
          <w:rFonts w:ascii="Arial" w:hAnsi="Arial" w:cs="Arial"/>
          <w:b/>
        </w:rPr>
        <w:t>. gen. L. Svobodu</w:t>
      </w:r>
    </w:p>
    <w:p w:rsidR="00C61758" w:rsidRPr="00C37F19" w:rsidRDefault="00C61758" w:rsidP="00C61758">
      <w:pPr>
        <w:pStyle w:val="Hlavika"/>
        <w:tabs>
          <w:tab w:val="clear" w:pos="4536"/>
          <w:tab w:val="center" w:pos="6237"/>
        </w:tabs>
        <w:jc w:val="center"/>
        <w:rPr>
          <w:rFonts w:ascii="Arial" w:hAnsi="Arial" w:cs="Arial"/>
          <w:b/>
        </w:rPr>
      </w:pPr>
      <w:r w:rsidRPr="00C37F19">
        <w:rPr>
          <w:rFonts w:ascii="Arial" w:hAnsi="Arial" w:cs="Arial"/>
          <w:b/>
        </w:rPr>
        <w:t>Bardejovská 715/18</w:t>
      </w:r>
    </w:p>
    <w:p w:rsidR="00C61758" w:rsidRDefault="00C61758" w:rsidP="00C61758">
      <w:pPr>
        <w:jc w:val="center"/>
        <w:rPr>
          <w:rFonts w:ascii="Arial" w:hAnsi="Arial" w:cs="Arial"/>
          <w:b/>
        </w:rPr>
      </w:pPr>
      <w:r w:rsidRPr="00C37F19">
        <w:rPr>
          <w:rFonts w:ascii="Arial" w:hAnsi="Arial" w:cs="Arial"/>
          <w:b/>
        </w:rPr>
        <w:t xml:space="preserve">  089 01 Svidník</w:t>
      </w:r>
    </w:p>
    <w:p w:rsidR="00990043" w:rsidRPr="00C37F19" w:rsidRDefault="00990043" w:rsidP="00C617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C61758" w:rsidRPr="00C37F19" w:rsidRDefault="00C61758" w:rsidP="00C61758">
      <w:pPr>
        <w:jc w:val="both"/>
        <w:rPr>
          <w:rFonts w:ascii="Arial" w:hAnsi="Arial" w:cs="Arial"/>
          <w:b/>
        </w:rPr>
      </w:pPr>
    </w:p>
    <w:p w:rsidR="008D7BED" w:rsidRDefault="00F039D0" w:rsidP="00F039D0">
      <w:pPr>
        <w:rPr>
          <w:rFonts w:ascii="Arial" w:hAnsi="Arial"/>
          <w:b/>
        </w:rPr>
      </w:pPr>
      <w:r w:rsidRPr="008C72B7">
        <w:rPr>
          <w:rFonts w:ascii="Arial" w:hAnsi="Arial"/>
          <w:b/>
        </w:rPr>
        <w:t xml:space="preserve">CHARAKTERISTIKA ŠKOLSKÉHO VZDELÁVACIEHO PROGRAMU </w:t>
      </w:r>
    </w:p>
    <w:p w:rsidR="00F039D0" w:rsidRPr="008D7BED" w:rsidRDefault="00F039D0" w:rsidP="008D7BED">
      <w:pPr>
        <w:pStyle w:val="Odsekzoznamu"/>
        <w:numPr>
          <w:ilvl w:val="0"/>
          <w:numId w:val="7"/>
        </w:numPr>
        <w:rPr>
          <w:rFonts w:ascii="Arial" w:hAnsi="Arial"/>
          <w:b/>
          <w:caps/>
        </w:rPr>
      </w:pPr>
      <w:r w:rsidRPr="008D7BED">
        <w:rPr>
          <w:rFonts w:ascii="Arial" w:hAnsi="Arial"/>
          <w:b/>
          <w:caps/>
        </w:rPr>
        <w:t>kuchár</w:t>
      </w:r>
    </w:p>
    <w:p w:rsidR="00E12D59" w:rsidRDefault="00E12D59" w:rsidP="00E12D59">
      <w:pPr>
        <w:pStyle w:val="Zkladntext"/>
        <w:jc w:val="both"/>
        <w:rPr>
          <w:rFonts w:ascii="Arial" w:hAnsi="Arial"/>
          <w:b/>
          <w:caps/>
          <w:lang w:val="sk-SK" w:eastAsia="sk-SK"/>
        </w:rPr>
      </w:pPr>
    </w:p>
    <w:p w:rsidR="00644971" w:rsidRDefault="00644971" w:rsidP="00F97928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Príprava v školskom vzdelávacom program</w:t>
      </w:r>
      <w:r w:rsidR="004D0912">
        <w:rPr>
          <w:rFonts w:ascii="Arial" w:hAnsi="Arial" w:cs="Arial"/>
          <w:sz w:val="20"/>
          <w:szCs w:val="20"/>
        </w:rPr>
        <w:t>e Kuchár v učebnom odbore 6445 H</w:t>
      </w:r>
      <w:r>
        <w:rPr>
          <w:rFonts w:ascii="Arial" w:hAnsi="Arial" w:cs="Arial"/>
          <w:sz w:val="20"/>
          <w:szCs w:val="20"/>
        </w:rPr>
        <w:t xml:space="preserve"> kuchár zahŕňa teoretické a praktické vyučovanie. Teoretické vyučovanie je organizované v priestoroch školy a praktické vyučovanie je organizované formou odborného výcviku v škole a priamo na pracoviskách zamestnávateľov. Trojročný odbor štúdia je koncipovaný homogénne ako odbor profesijnej prípravy pre úsek obsluhy so všeobecným prehľadom o celej oblasti spoločného stravovania a so základnými predpokladmi pre výkon podnikateľských aktivít. </w:t>
      </w:r>
    </w:p>
    <w:p w:rsidR="00644971" w:rsidRDefault="00644971" w:rsidP="00F97928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FC0B91">
        <w:rPr>
          <w:rFonts w:ascii="Arial" w:hAnsi="Arial" w:cs="Arial"/>
          <w:sz w:val="20"/>
          <w:szCs w:val="20"/>
        </w:rPr>
        <w:t xml:space="preserve">Učebný odbor 6445 </w:t>
      </w:r>
      <w:r w:rsidR="004D0912">
        <w:rPr>
          <w:rFonts w:ascii="Arial" w:hAnsi="Arial" w:cs="Arial"/>
          <w:sz w:val="20"/>
          <w:szCs w:val="20"/>
          <w:lang w:val="sk-SK"/>
        </w:rPr>
        <w:t xml:space="preserve">H </w:t>
      </w:r>
      <w:r w:rsidRPr="00FC0B91">
        <w:rPr>
          <w:rFonts w:ascii="Arial" w:hAnsi="Arial" w:cs="Arial"/>
          <w:sz w:val="20"/>
          <w:szCs w:val="20"/>
        </w:rPr>
        <w:t>kuchár pripravuje absolventov so všeobecnovzdelávacím základom, s odbornými teoretickými vedomosťami a praktickými zručnosťami tak, že je schopný vykonávať kvalifikovanú činnosť pri príprave jedál v reštauráciách, hoteloch a ďalších zariadeniach spoločného stravovania.</w:t>
      </w:r>
    </w:p>
    <w:p w:rsidR="00E12D59" w:rsidRPr="00FC0B91" w:rsidRDefault="00E12D59" w:rsidP="00F97928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644971" w:rsidRDefault="00644971" w:rsidP="00F97928">
      <w:pPr>
        <w:jc w:val="both"/>
        <w:rPr>
          <w:rFonts w:ascii="Arial" w:hAnsi="Arial"/>
          <w:b/>
          <w:caps/>
        </w:rPr>
      </w:pPr>
      <w:r>
        <w:rPr>
          <w:rFonts w:ascii="Arial" w:hAnsi="Arial" w:cs="Arial"/>
          <w:sz w:val="20"/>
          <w:szCs w:val="20"/>
        </w:rPr>
        <w:t xml:space="preserve">Predpokladom pre prijatie do učebného odboru je úspešné ukončenie základnej školy a zdravotné požiadavky uchádzačov o štúdium. Pri prijímaní na štúdium sa hodnotí tiež prospech a správanie na základnej škole, záujem uchádzačov o štúdium a výsledky prijímacieho konania. Konkretizácia kritérií na prijímacie skúšky vrátane bodového hodnotenia sú stanovené každoročne.  </w:t>
      </w:r>
    </w:p>
    <w:p w:rsidR="00644971" w:rsidRDefault="00644971" w:rsidP="00F039D0">
      <w:pPr>
        <w:rPr>
          <w:rFonts w:ascii="Arial" w:hAnsi="Arial"/>
          <w:b/>
          <w:caps/>
        </w:rPr>
      </w:pPr>
    </w:p>
    <w:p w:rsidR="00644971" w:rsidRPr="00230DF9" w:rsidRDefault="00644971" w:rsidP="00644971">
      <w:pPr>
        <w:pStyle w:val="Nadpis1"/>
      </w:pPr>
      <w:bookmarkStart w:id="0" w:name="_Toc208651170"/>
      <w:bookmarkStart w:id="1" w:name="_Toc208651722"/>
      <w:bookmarkStart w:id="2" w:name="_Toc431151436"/>
      <w:r w:rsidRPr="00230DF9">
        <w:t>Základné údaje o štúdiu</w:t>
      </w:r>
      <w:bookmarkEnd w:id="0"/>
      <w:bookmarkEnd w:id="1"/>
      <w:bookmarkEnd w:id="2"/>
    </w:p>
    <w:p w:rsidR="00644971" w:rsidRPr="003F5F2C" w:rsidRDefault="00644971" w:rsidP="00644971">
      <w:pPr>
        <w:rPr>
          <w:rFonts w:ascii="Arial" w:hAnsi="Arial" w:cs="Arial"/>
          <w:snapToGrid w:val="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644971" w:rsidRPr="003F5F2C" w:rsidTr="00A00768">
        <w:trPr>
          <w:trHeight w:val="306"/>
        </w:trPr>
        <w:tc>
          <w:tcPr>
            <w:tcW w:w="34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color w:val="0000FF"/>
                <w:sz w:val="20"/>
                <w:szCs w:val="20"/>
              </w:rPr>
            </w:pPr>
            <w:r w:rsidRPr="004D091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Dĺžka štúdia:</w:t>
            </w:r>
          </w:p>
        </w:tc>
        <w:tc>
          <w:tcPr>
            <w:tcW w:w="57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4D091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3 roky</w:t>
            </w: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644971" w:rsidRPr="003F5F2C" w:rsidTr="00A00768">
        <w:trPr>
          <w:trHeight w:val="172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644971" w:rsidRPr="004D0912" w:rsidRDefault="00644971" w:rsidP="00A00768">
            <w:pPr>
              <w:tabs>
                <w:tab w:val="num" w:pos="1188"/>
                <w:tab w:val="num" w:pos="154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912">
              <w:rPr>
                <w:rFonts w:ascii="Arial" w:hAnsi="Arial" w:cs="Arial"/>
                <w:b/>
                <w:bCs/>
                <w:sz w:val="20"/>
                <w:szCs w:val="20"/>
              </w:rPr>
              <w:t>Forma štúdia:</w:t>
            </w: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D0912">
              <w:rPr>
                <w:rFonts w:ascii="Arial" w:hAnsi="Arial" w:cs="Arial"/>
                <w:iCs/>
                <w:sz w:val="20"/>
                <w:szCs w:val="20"/>
              </w:rPr>
              <w:t>denná</w:t>
            </w: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44971" w:rsidRPr="003F5F2C" w:rsidTr="00A00768"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D0912">
              <w:rPr>
                <w:rFonts w:ascii="Arial" w:hAnsi="Arial" w:cs="Arial"/>
                <w:b/>
                <w:bCs/>
                <w:sz w:val="20"/>
                <w:szCs w:val="20"/>
              </w:rPr>
              <w:t>Nevyhnutné vstupné požiadavky na štúdium:</w:t>
            </w:r>
            <w:r w:rsidRPr="004D091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44971" w:rsidRPr="004D0912" w:rsidRDefault="00644971" w:rsidP="00644971">
            <w:pPr>
              <w:numPr>
                <w:ilvl w:val="4"/>
                <w:numId w:val="3"/>
              </w:numPr>
              <w:tabs>
                <w:tab w:val="clear" w:pos="3600"/>
                <w:tab w:val="num" w:pos="290"/>
              </w:tabs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4D0912">
              <w:rPr>
                <w:rFonts w:ascii="Arial" w:hAnsi="Arial" w:cs="Arial"/>
                <w:sz w:val="20"/>
                <w:szCs w:val="20"/>
              </w:rPr>
              <w:t>podmienky prijatia na štúdium ustanovuje vykonávací predpis o prijímacom konaní na stredné školy,</w:t>
            </w:r>
          </w:p>
          <w:p w:rsidR="00644971" w:rsidRPr="004D0912" w:rsidRDefault="00644971" w:rsidP="00644971">
            <w:pPr>
              <w:numPr>
                <w:ilvl w:val="4"/>
                <w:numId w:val="3"/>
              </w:numPr>
              <w:tabs>
                <w:tab w:val="clear" w:pos="3600"/>
                <w:tab w:val="num" w:pos="290"/>
              </w:tabs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4D0912">
              <w:rPr>
                <w:rFonts w:ascii="Arial" w:hAnsi="Arial" w:cs="Arial"/>
                <w:sz w:val="20"/>
                <w:szCs w:val="20"/>
              </w:rPr>
              <w:t>zdravotná spôsobilosť uchádzača o štúdium.</w:t>
            </w:r>
          </w:p>
        </w:tc>
      </w:tr>
      <w:tr w:rsidR="00644971" w:rsidRPr="003F5F2C" w:rsidTr="00A00768">
        <w:trPr>
          <w:trHeight w:val="202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91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Spôsob ukončenia štúdia: </w:t>
            </w: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D0912">
              <w:rPr>
                <w:rFonts w:ascii="Arial" w:hAnsi="Arial" w:cs="Arial"/>
                <w:bCs/>
                <w:sz w:val="20"/>
                <w:szCs w:val="20"/>
              </w:rPr>
              <w:t>záverečná skúška</w:t>
            </w:r>
          </w:p>
        </w:tc>
      </w:tr>
      <w:tr w:rsidR="00644971" w:rsidRPr="003F5F2C" w:rsidTr="00A00768">
        <w:trPr>
          <w:trHeight w:val="460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4D091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Doklad o dosiahnutom </w:t>
            </w:r>
            <w:r w:rsidRPr="004D0912">
              <w:rPr>
                <w:rFonts w:ascii="Arial" w:hAnsi="Arial" w:cs="Arial"/>
                <w:b/>
                <w:bCs/>
                <w:sz w:val="20"/>
                <w:szCs w:val="20"/>
              </w:rPr>
              <w:t>vzdelaní:</w:t>
            </w:r>
            <w:r w:rsidRPr="004D0912"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  <w:t xml:space="preserve"> </w:t>
            </w: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44971" w:rsidRPr="004D0912" w:rsidRDefault="004D0912" w:rsidP="00A00768">
            <w:pPr>
              <w:tabs>
                <w:tab w:val="num" w:pos="72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</w:t>
            </w:r>
            <w:r w:rsidR="00644971" w:rsidRPr="004D0912">
              <w:rPr>
                <w:rFonts w:ascii="Arial" w:hAnsi="Arial" w:cs="Arial"/>
                <w:snapToGrid w:val="0"/>
                <w:sz w:val="20"/>
                <w:szCs w:val="20"/>
              </w:rPr>
              <w:t>ysvedčenie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o záverečnej skúške</w:t>
            </w: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D0912">
              <w:rPr>
                <w:rFonts w:ascii="Arial" w:hAnsi="Arial" w:cs="Arial"/>
                <w:snapToGrid w:val="0"/>
                <w:sz w:val="20"/>
                <w:szCs w:val="20"/>
              </w:rPr>
              <w:t>Výučný list</w:t>
            </w:r>
          </w:p>
        </w:tc>
      </w:tr>
      <w:tr w:rsidR="00644971" w:rsidRPr="003F5F2C" w:rsidTr="00A00768"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4D091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Poskytnutý stupeň vzdelania: </w:t>
            </w: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44971" w:rsidRPr="004D0912" w:rsidRDefault="00644971" w:rsidP="00A00768">
            <w:pPr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D0912">
              <w:rPr>
                <w:rFonts w:ascii="Arial" w:hAnsi="Arial" w:cs="Arial"/>
                <w:bCs/>
                <w:snapToGrid w:val="0"/>
                <w:sz w:val="20"/>
                <w:szCs w:val="20"/>
              </w:rPr>
              <w:t>Stredné odborné vzdelanie</w:t>
            </w:r>
          </w:p>
          <w:p w:rsidR="00644971" w:rsidRPr="004D0912" w:rsidRDefault="00644971" w:rsidP="00A00768">
            <w:pPr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D0912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4D0912">
                <w:rPr>
                  <w:rFonts w:ascii="Arial" w:hAnsi="Arial" w:cs="Arial"/>
                  <w:bCs/>
                  <w:snapToGrid w:val="0"/>
                  <w:sz w:val="20"/>
                  <w:szCs w:val="20"/>
                </w:rPr>
                <w:t>3C</w:t>
              </w:r>
            </w:smartTag>
          </w:p>
        </w:tc>
      </w:tr>
      <w:tr w:rsidR="00644971" w:rsidRPr="003F5F2C" w:rsidTr="00A00768"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4D091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Možnosti pracovného uplatnenia </w:t>
            </w:r>
            <w:r w:rsidRPr="004D0912">
              <w:rPr>
                <w:rFonts w:ascii="Arial" w:hAnsi="Arial" w:cs="Arial"/>
                <w:b/>
                <w:bCs/>
                <w:sz w:val="20"/>
                <w:szCs w:val="20"/>
              </w:rPr>
              <w:t>absolventa:</w:t>
            </w: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44971" w:rsidRPr="004D0912" w:rsidRDefault="00644971" w:rsidP="00A00768">
            <w:pPr>
              <w:rPr>
                <w:rFonts w:ascii="Arial" w:hAnsi="Arial" w:cs="Arial"/>
                <w:sz w:val="20"/>
                <w:szCs w:val="20"/>
              </w:rPr>
            </w:pPr>
            <w:r w:rsidRPr="004D0912">
              <w:rPr>
                <w:rFonts w:ascii="Arial" w:hAnsi="Arial" w:cs="Arial"/>
                <w:sz w:val="20"/>
                <w:szCs w:val="20"/>
              </w:rPr>
              <w:t>Učebný odbor pripravuje absolventov na výkon povolania kuchár, ktorí sa uplatnia v službách ako zamestnanci reštaurácií, hotelov a ostatných zariadení spoločného stravovania a ako živnostník</w:t>
            </w:r>
          </w:p>
        </w:tc>
      </w:tr>
      <w:tr w:rsidR="00644971" w:rsidRPr="003F5F2C" w:rsidTr="00A00768"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644971" w:rsidRPr="004D0912" w:rsidRDefault="00644971" w:rsidP="00A00768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4D091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Nadväzná odborná </w:t>
            </w:r>
            <w:r w:rsidRPr="004D0912">
              <w:rPr>
                <w:rFonts w:ascii="Arial" w:hAnsi="Arial" w:cs="Arial"/>
                <w:b/>
                <w:bCs/>
                <w:sz w:val="20"/>
                <w:szCs w:val="20"/>
              </w:rPr>
              <w:t>príprava (ďalšie vzdelávanie):</w:t>
            </w:r>
            <w:r w:rsidRPr="004D091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7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44971" w:rsidRPr="004D0912" w:rsidRDefault="00644971" w:rsidP="00A00768">
            <w:pPr>
              <w:tabs>
                <w:tab w:val="num" w:pos="720"/>
              </w:tabs>
              <w:jc w:val="both"/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</w:pPr>
            <w:r w:rsidRPr="004D0912"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  <w:t>Študijné odbory nadstavbového štúdia pre absolventov trojročných učebných odborov nadväzujúcich na predchádzajúci odbor štúdia – úplné stredné odborné vzdelania na úrovni ISCED 3A</w:t>
            </w:r>
          </w:p>
        </w:tc>
      </w:tr>
    </w:tbl>
    <w:p w:rsidR="00644971" w:rsidRPr="00230DF9" w:rsidRDefault="00644971" w:rsidP="00644971">
      <w:pPr>
        <w:pStyle w:val="Nadpis1"/>
      </w:pPr>
      <w:bookmarkStart w:id="3" w:name="_Toc208651175"/>
      <w:bookmarkStart w:id="4" w:name="_Toc208651727"/>
      <w:bookmarkStart w:id="5" w:name="_Toc431151441"/>
      <w:r w:rsidRPr="00230DF9">
        <w:lastRenderedPageBreak/>
        <w:t>Charakteristika absolventa</w:t>
      </w:r>
      <w:bookmarkEnd w:id="3"/>
      <w:bookmarkEnd w:id="4"/>
      <w:bookmarkEnd w:id="5"/>
    </w:p>
    <w:p w:rsidR="00644971" w:rsidRDefault="00644971" w:rsidP="0064497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E291E">
        <w:rPr>
          <w:rFonts w:ascii="Arial" w:hAnsi="Arial" w:cs="Arial"/>
          <w:sz w:val="20"/>
          <w:szCs w:val="20"/>
        </w:rPr>
        <w:t xml:space="preserve">Absolvent trojročného učebného odboru </w:t>
      </w:r>
      <w:r w:rsidR="00255CD3">
        <w:rPr>
          <w:rFonts w:ascii="Arial" w:hAnsi="Arial" w:cs="Arial"/>
          <w:sz w:val="20"/>
          <w:szCs w:val="20"/>
        </w:rPr>
        <w:t>6445 H</w:t>
      </w:r>
      <w:r>
        <w:rPr>
          <w:rFonts w:ascii="Arial" w:hAnsi="Arial" w:cs="Arial"/>
          <w:sz w:val="20"/>
          <w:szCs w:val="20"/>
        </w:rPr>
        <w:t xml:space="preserve"> kuchár po ukončení štúdia úspešne vykonanou záverečnou skúškou získava prvú kvalifikáciu na úrovni stredného odborného vzdelania. </w:t>
      </w:r>
      <w:r w:rsidRPr="004B1192">
        <w:rPr>
          <w:rFonts w:ascii="Arial" w:hAnsi="Arial" w:cs="Arial"/>
          <w:sz w:val="20"/>
          <w:szCs w:val="20"/>
        </w:rPr>
        <w:t xml:space="preserve">Absolventi tohto odboru nachádzajú široké uplatnenie ako </w:t>
      </w:r>
      <w:r w:rsidRPr="00AC6A59">
        <w:rPr>
          <w:rFonts w:ascii="Arial" w:hAnsi="Arial" w:cs="Arial"/>
          <w:sz w:val="20"/>
          <w:szCs w:val="20"/>
        </w:rPr>
        <w:t>zamestnanci reštaurácií, hotelov a ostatných zariadení spoločného stravovania</w:t>
      </w:r>
      <w:r>
        <w:rPr>
          <w:rFonts w:ascii="Arial" w:hAnsi="Arial" w:cs="Arial"/>
          <w:sz w:val="20"/>
          <w:szCs w:val="20"/>
        </w:rPr>
        <w:t xml:space="preserve"> </w:t>
      </w:r>
      <w:r w:rsidRPr="00AC6A59">
        <w:rPr>
          <w:rFonts w:ascii="Arial" w:hAnsi="Arial" w:cs="Arial"/>
          <w:sz w:val="20"/>
          <w:szCs w:val="20"/>
        </w:rPr>
        <w:t xml:space="preserve">a ako živnostník. Je možno ich zaradiť podľa jednotného katalógu prác </w:t>
      </w:r>
      <w:r w:rsidRPr="004B119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reštauračných zariadeniach.</w:t>
      </w:r>
      <w:r w:rsidRPr="004B11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Absolvent vie pripraviť pracovisko a ovláda všetky práce spojené so stolovaním, so samostatnou prípravou pokrmov, pozná suroviny, nápoje a technológiu ich výroby, zásady uplatňovania gastronomických pravidiel, receptúry a technologické postupy bežných a náročných jedál, ovláda zásady bezpečnosti a ochrany zdravia pri práci, kultivované a spoločenské správanie, vie komunikovať so zákazníkom.</w:t>
      </w:r>
    </w:p>
    <w:p w:rsidR="0063321E" w:rsidRDefault="0063321E" w:rsidP="00644971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61758" w:rsidRPr="009D1A8B" w:rsidRDefault="00255CD3" w:rsidP="009D1A8B">
      <w:pPr>
        <w:pStyle w:val="Nadpis1"/>
      </w:pPr>
      <w:r>
        <w:t>U</w:t>
      </w:r>
      <w:r w:rsidR="00C61758" w:rsidRPr="009D1A8B">
        <w:t xml:space="preserve">čebný plán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1418"/>
        <w:gridCol w:w="142"/>
        <w:gridCol w:w="1701"/>
        <w:gridCol w:w="1441"/>
        <w:gridCol w:w="1463"/>
      </w:tblGrid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9E05AC" w:rsidP="00B36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675pt;margin-top:28.55pt;width:3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" strokecolor="white">
                  <v:textbox style="mso-next-textbox:#Textové pole 2">
                    <w:txbxContent>
                      <w:p w:rsidR="00C61758" w:rsidRDefault="00C61758" w:rsidP="00C61758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Textové pole 1" o:spid="_x0000_s1027" type="#_x0000_t202" style="position:absolute;margin-left:711pt;margin-top:28.55pt;width:36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" strokecolor="white">
                  <v:textbox style="mso-next-textbox:#Textové pole 1">
                    <w:txbxContent>
                      <w:p w:rsidR="00C61758" w:rsidRDefault="00C61758" w:rsidP="00C61758">
                        <w:pPr>
                          <w:jc w:val="both"/>
                        </w:pPr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="00C61758" w:rsidRPr="0080276B">
              <w:rPr>
                <w:rFonts w:ascii="Arial" w:hAnsi="Arial" w:cs="Arial"/>
                <w:b/>
                <w:sz w:val="20"/>
                <w:szCs w:val="20"/>
              </w:rPr>
              <w:t xml:space="preserve">Škola </w:t>
            </w:r>
            <w:r w:rsidR="00C61758" w:rsidRPr="0080276B">
              <w:rPr>
                <w:rFonts w:ascii="Arial" w:hAnsi="Arial" w:cs="Arial"/>
                <w:sz w:val="20"/>
                <w:szCs w:val="20"/>
              </w:rPr>
              <w:t>(názov, adresa)</w:t>
            </w:r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 xml:space="preserve">Stredná odborná škola polytechnická a služieb </w:t>
            </w:r>
            <w:proofErr w:type="spellStart"/>
            <w:r w:rsidRPr="0080276B">
              <w:rPr>
                <w:rFonts w:ascii="Arial" w:hAnsi="Arial" w:cs="Arial"/>
                <w:sz w:val="20"/>
                <w:szCs w:val="20"/>
              </w:rPr>
              <w:t>arm</w:t>
            </w:r>
            <w:proofErr w:type="spellEnd"/>
            <w:r w:rsidRPr="0080276B">
              <w:rPr>
                <w:rFonts w:ascii="Arial" w:hAnsi="Arial" w:cs="Arial"/>
                <w:sz w:val="20"/>
                <w:szCs w:val="20"/>
              </w:rPr>
              <w:t>. gen. L. Svobodu, Bardejovská 715/18, 089 01 Svidník</w:t>
            </w:r>
          </w:p>
        </w:tc>
      </w:tr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 xml:space="preserve">Názov </w:t>
            </w:r>
            <w:proofErr w:type="spellStart"/>
            <w:r w:rsidRPr="0080276B">
              <w:rPr>
                <w:rFonts w:ascii="Arial" w:hAnsi="Arial" w:cs="Arial"/>
                <w:b/>
                <w:sz w:val="20"/>
                <w:szCs w:val="20"/>
              </w:rPr>
              <w:t>ŠkVP</w:t>
            </w:r>
            <w:proofErr w:type="spellEnd"/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Kuchár</w:t>
            </w:r>
          </w:p>
        </w:tc>
      </w:tr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Kód a názov  ŠVP</w:t>
            </w:r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 xml:space="preserve">64 Ekonomika a organizácia, obchod a služby </w:t>
            </w:r>
          </w:p>
        </w:tc>
      </w:tr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Kód a názov učebného odboru</w:t>
            </w:r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 xml:space="preserve">6445 H  kuchár   </w:t>
            </w:r>
          </w:p>
        </w:tc>
      </w:tr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Stupeň vzdelania</w:t>
            </w:r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80276B">
                <w:rPr>
                  <w:rFonts w:ascii="Arial" w:hAnsi="Arial" w:cs="Arial"/>
                  <w:sz w:val="20"/>
                  <w:szCs w:val="20"/>
                </w:rPr>
                <w:t>3C</w:t>
              </w:r>
            </w:smartTag>
          </w:p>
        </w:tc>
      </w:tr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Dĺžka štúdia</w:t>
            </w:r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Forma štúdia</w:t>
            </w:r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denná</w:t>
            </w:r>
          </w:p>
        </w:tc>
      </w:tr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Druh školy</w:t>
            </w:r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štátna</w:t>
            </w:r>
          </w:p>
        </w:tc>
      </w:tr>
      <w:tr w:rsidR="00C61758" w:rsidRPr="0080276B" w:rsidTr="00B36240">
        <w:tc>
          <w:tcPr>
            <w:tcW w:w="425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Vyučovací jazyk</w:t>
            </w:r>
          </w:p>
        </w:tc>
        <w:tc>
          <w:tcPr>
            <w:tcW w:w="4747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C61758" w:rsidRPr="0080276B" w:rsidRDefault="00C61758" w:rsidP="00B36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slovenský jazyk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Kategórie a názvy vyučovacích predmetov</w:t>
            </w:r>
          </w:p>
        </w:tc>
        <w:tc>
          <w:tcPr>
            <w:tcW w:w="616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Počet týždenných vyučovacích hodín v ročníku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Všeobecnovzdelávacie predmety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slovenský jazyk a literatúra  a)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1.cudzí jazyk a), b)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 xml:space="preserve">občianska náuka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etická výchova/náboženská výchova  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7"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chémia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matematika  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telesná a športová výchova  e)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Odborné predmety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4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26,5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72,5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potraviny a výživa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technológia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stolovanie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spoločenská komunikácia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technika administratívy 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právna náuka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odborný výcvik  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 xml:space="preserve">Voliteľné predmety 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hospodárska korešpondencia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E22250" w:rsidP="00B36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obchodné IKT 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hospodárske výpočty 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4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34,5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102,5</w:t>
            </w: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lastRenderedPageBreak/>
              <w:t>Účelové kurzy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 xml:space="preserve">Ochrana človeka a prírody 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758" w:rsidRPr="0080276B" w:rsidTr="002370B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283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 xml:space="preserve">Telovýchovno-výcvikový kurz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758" w:rsidRPr="0080276B" w:rsidRDefault="00C61758" w:rsidP="00C37F19">
      <w:pPr>
        <w:ind w:left="360"/>
        <w:rPr>
          <w:rFonts w:ascii="Arial" w:hAnsi="Arial" w:cs="Arial"/>
          <w:sz w:val="20"/>
          <w:szCs w:val="20"/>
        </w:rPr>
      </w:pPr>
    </w:p>
    <w:p w:rsidR="00C61758" w:rsidRPr="0080276B" w:rsidRDefault="00C61758" w:rsidP="00C37F19">
      <w:pPr>
        <w:rPr>
          <w:rFonts w:ascii="Arial" w:hAnsi="Arial" w:cs="Arial"/>
          <w:b/>
          <w:sz w:val="20"/>
          <w:szCs w:val="20"/>
        </w:rPr>
      </w:pPr>
      <w:r w:rsidRPr="0080276B">
        <w:rPr>
          <w:rFonts w:ascii="Arial" w:hAnsi="Arial" w:cs="Arial"/>
          <w:b/>
          <w:sz w:val="20"/>
          <w:szCs w:val="20"/>
        </w:rPr>
        <w:t xml:space="preserve">Prehľad využitia týždňov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1620"/>
        <w:gridCol w:w="1620"/>
        <w:gridCol w:w="1440"/>
      </w:tblGrid>
      <w:tr w:rsidR="00C61758" w:rsidRPr="0080276B" w:rsidTr="00B36240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1. ročník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2. ročník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3. ročník</w:t>
            </w:r>
          </w:p>
        </w:tc>
      </w:tr>
      <w:tr w:rsidR="00C61758" w:rsidRPr="0080276B" w:rsidTr="00B36240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Vyučovanie podľa rozpisu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C61758" w:rsidRPr="0080276B" w:rsidTr="00B36240">
        <w:tc>
          <w:tcPr>
            <w:tcW w:w="43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Záverečná skúška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61758" w:rsidRPr="0080276B" w:rsidTr="00B36240">
        <w:tc>
          <w:tcPr>
            <w:tcW w:w="43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 xml:space="preserve">Časová rezerva(účelové kurzy, opakovanie učiva, exkurzie, výchovno-vzdelávacie akcie a i.) 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C61758" w:rsidRPr="0080276B" w:rsidTr="00B36240">
        <w:tc>
          <w:tcPr>
            <w:tcW w:w="43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rPr>
                <w:rFonts w:ascii="Arial" w:hAnsi="Arial" w:cs="Arial"/>
                <w:sz w:val="20"/>
                <w:szCs w:val="20"/>
              </w:rPr>
            </w:pPr>
            <w:r w:rsidRPr="0080276B">
              <w:rPr>
                <w:rFonts w:ascii="Arial" w:hAnsi="Arial" w:cs="Arial"/>
                <w:sz w:val="20"/>
                <w:szCs w:val="20"/>
              </w:rPr>
              <w:t>Účasť na odborných akciách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61758" w:rsidRPr="0080276B" w:rsidTr="00B36240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Spolu týždňov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C61758" w:rsidRPr="0080276B" w:rsidRDefault="00C61758" w:rsidP="00B3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6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</w:tbl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Poznámky k rámcovému učebnému plánu pre 3-ročné učebné odbory: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bookmarkStart w:id="6" w:name="_GoBack"/>
      <w:bookmarkEnd w:id="6"/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a) Rámcový učebný plán vymedzuje proporcie medzi všeobecným a odborným vzdelávaním (teoretickým a praktickým) a ich záväzný minimálny rozsah. Tento plán je východiskom pre spracovanie konkrétnych učebných plánov školských vzdelávacích programov, v ktorých budú vzdelávacie oblasti rozpracované do učebných osnov vyučovacích predmetov alebo modulov. Počty vyučovacích hodín pre jednotlivé vzdelávacie oblasti predstavujú nevyhnutné minimum. V školských vzdelávacích programoch sa rozširujú podľa potrieb odborov a zámerov školy z kapacity disponibilných hodín.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b) 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 vzdelávania žiakov so zdravotným znevýhodnením (dĺžka, formy výchovy a vzdelávania, podmienky prijímania, organizačné podmienky na výchovu a vzdelávanie, personálne, materiálno-technické a priestorové zabezpečenie, ap.) stanovujú vzdelávacie programy vypracované podľa druhu zdravotného znevýhodnenia.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c) Počet týždenných vyučovacích hodín v školských vzdelávacích programoch je minimálne 33 hodín a maximálne 35 hodín, za celé štúdium minimálne 99 hodín, maximálne 105 hodín. Výučba v učebných odboroch sa realizuje v 1. a 2. ročníku v rozsahu 33 týždňov, v 3. ročníku v rozsahu 30 týždňov (do celkového počtu hodín za štúdium sa počíta priemer 32 týždňov, spresnenie počtu hodín za štúdium bude predmetom školských učebných plánov). Časová rezerva sa využije na opakovanie a doplnenie učiva, na kurz na ochranu života a zdravia a kurzy pohybových aktivít v prírode ap. a v poslednom ročníku na absolvovanie záverečnej skúšky.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d) Trieda sa môže deliť na skupiny podľa potrieb odboru štúdia a podmienok školy.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e) Hodnotenie a klasifikácia vyučovacích predmetov sa riadi všeobecne záväznými právnymi predpismi.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f) Výučba slovenského jazyka a literatúry sa v učebných odboroch realizuje s dotáciou minimálne v rozsahu 1,5 vyučovacích hodín v 1 ročníku, minimálne v rozsahu 1 vyučovacej hodiny v 2. a 3. ročníku.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g) Vyučuje sa jeden z jazykov: jazyk anglický, nemecký, francúzsky, ruský, španielsky, taliansky. Podľa potreby a podmienok školy aj ďalšie cudzie jazyky. Výučba prvého cudzieho jazyka sa v učebných odboroch realizuje minimálne v rozsahu 3 týždenných vyučovacích hodín v 1., 2. ročníku a 2 týždenných vyučovacích hodín v 3. ročníku. Druhý cudzí jazyk sa môže vyučovať ako voliteľný predmet z časovej dotácie disponibilných hodín minimálne v rozsahu 2 týždenných vyučovacích hodín v ročníku.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h) Súčasťou vzdelávacej oblasti „Človek a hodnoty“ sú predmety náboženská výchova v alternatíve s etickou výchovou. Predmety etická výchova/ náboženská výchova sa vyučujú podľa záujmu žiakov v skupinách najviac 20 žiakov.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i) Súčasťou vzdelávacej oblasti „Človek a spoločnosť“ je predmet občianska náuka.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j) Na cirkevných školách je povinnou súčasťou vzdelávacej oblasti „Človek a hodnoty“ predmet náboženstvo (podľa konfesie zriaďovateľa). Predmet etická výchova môže škola vyučovať v rámci voliteľných predmetov. Súčasťou vzdelávacej oblasti „Človek a spoločnosť“ je predmet občianska náuka.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>k) Súčasťou vzdelávacej oblasti „Človek a príroda“ sú predmety fyzika, chémia a biológia, ktoré sa vyučujú podľa ich účelu v danom odbore štúdia. Vyberie sa z predmetov podľa ich účelu v danom odbore štúdia.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l) Súčasťou vzdelávacej oblasti Matematika a práca s informáciami sú predmety matematika a informatika, ktoré sa vyučujú podľa ich účelu v danom odbore štúdia. Výučba matematiky sa v učebných odboroch realizuje s dotáciou minimálne 2 hodín týždenne za celé štúdium</w:t>
      </w:r>
      <w:r w:rsidRPr="0080276B">
        <w:rPr>
          <w:rFonts w:ascii="Arial" w:eastAsia="Calibri" w:hAnsi="Arial" w:cs="Arial"/>
          <w:color w:val="FF0000"/>
          <w:sz w:val="20"/>
          <w:szCs w:val="20"/>
          <w:lang w:eastAsia="en-US"/>
        </w:rPr>
        <w:t>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m) Súčasťou vzdelávacej oblasti „Zdravie a pohyb“ je predmet telesná a športová výchova. Predmet telesná a športová výchova možno vyučovať aj v popoludňajších hodinách a spájať do maximálne dvojhodinových celkov.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n) Riaditeľ školy po prerokovaní s pedagogickou radou a na návrh predmetových komisií rozhodne, ktoré predmety v rámci teoretického vzdelávania a praktickej prípravy možno spájať do viachodinových celkov.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o) Praktická príprava sa realizuje podľa všeobecne záväzných právnych predpisov v rozsahu minimálne 1520 hodín za štúdium, čo je podmienkou vykonania záverečnej skúšky. Pre kvalitnú realizáciu vzdelávania je potrebné vytvárať podmienky pre osvojovanie požadovaných praktických zručností a činností formou praktických cvičení (v laboratóriách, dielňach, odborných učebniach, cvičných firmách a pod.) a odborného výcviku. Na praktických cvičeniach a odbornom výcviku sa môžu žiaci deliť do skupín, najmä s ohľadom na bezpečnosť a ochranu zdravia pri práci a na hygienické požiadavky podľa všeobecne záväzných právnych predpisov. Počet žiakov na jedného majstra odbornej výchovy je stanovený všeobecne záväznými právnymi predpismi.</w:t>
      </w:r>
    </w:p>
    <w:p w:rsidR="00C61758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p) Disponibilné hodiny sú prostriedkom na modifikáciu učebného plánu v školskom vzdelávacom programe a súčasne na vnútornú a vonkajšiu diferenciáciu štúdia na strednej škole. O ich využití rozhoduje vedenie školy na základe vlastnej koncepcie výchovy a vzdelávania podľa návrhu predmetových komisií a po prerokovaní v pedagogickej rade. Možno ich využiť na posilnenie hodinovej dotácie základného učiva (povinných predmetov) alebo na zaradenie ďalšieho rozširujúceho učiva (voliteľných predmetov) v učebnom pláne. Disponibilné hodiny sú spoločné pre všeobecné a odborné vzdelávanie. </w:t>
      </w:r>
    </w:p>
    <w:p w:rsidR="009D1A8B" w:rsidRPr="0080276B" w:rsidRDefault="00C61758" w:rsidP="00C6175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276B">
        <w:rPr>
          <w:rFonts w:ascii="Arial" w:eastAsia="Calibri" w:hAnsi="Arial" w:cs="Arial"/>
          <w:color w:val="000000"/>
          <w:sz w:val="20"/>
          <w:szCs w:val="20"/>
          <w:lang w:eastAsia="en-US"/>
        </w:rPr>
        <w:t>q) Súčasťou výchovy a vzdelávania žiakov je kurz na ochranu života a zdravia a kurz pohybových aktivít v prírode, ktoré sú uvedené v učebnom pláne školského vzdelávacieho programu. Kurz na ochranu života a zdravia má samostatné tematické celky s týmto obsahom: riešenie mimoriadnych udalostí – civilná ochrana, zdravotná príprava, pobyt a pohyb v prírode, záujmové technické činnosti a športy. Organizuje sa v druhom ročníku štúdia a trvá tri dni po šesť hodín, resp. 5 dní pri realizácii internátnou formou. Účelové cvičenia sú súčasťou prierezovej témy Ochrana života a zdravia. Uskutočňuje sa jedno v každom ročníku štúdia, 6 hodín v teréne. Kurz pohybových aktivít v prírode sa koná v rozsahu piatich vyučovacích dní, najmenej však v rozsahu 15 vyučovacích hodín. Organizuje sa jeden v 1. ročníku štúdia.</w:t>
      </w:r>
    </w:p>
    <w:p w:rsidR="009D1A8B" w:rsidRPr="009D1A8B" w:rsidRDefault="009D1A8B" w:rsidP="00542F49">
      <w:pPr>
        <w:pStyle w:val="Nadpis1"/>
        <w:numPr>
          <w:ilvl w:val="0"/>
          <w:numId w:val="0"/>
        </w:numPr>
        <w:ind w:left="360"/>
      </w:pPr>
    </w:p>
    <w:sectPr w:rsidR="009D1A8B" w:rsidRPr="009D1A8B" w:rsidSect="00CB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39"/>
      </v:shape>
    </w:pict>
  </w:numPicBullet>
  <w:abstractNum w:abstractNumId="0" w15:restartNumberingAfterBreak="0">
    <w:nsid w:val="08A60A8F"/>
    <w:multiLevelType w:val="hybridMultilevel"/>
    <w:tmpl w:val="50DC8D36"/>
    <w:lvl w:ilvl="0" w:tplc="B6E62226">
      <w:start w:val="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7C42"/>
    <w:multiLevelType w:val="hybridMultilevel"/>
    <w:tmpl w:val="C46A90F4"/>
    <w:lvl w:ilvl="0" w:tplc="8EEC680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DEAB84A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i/>
        <w:u w:val="none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68871E4"/>
    <w:multiLevelType w:val="multilevel"/>
    <w:tmpl w:val="24D8BC4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422E2EF7"/>
    <w:multiLevelType w:val="hybridMultilevel"/>
    <w:tmpl w:val="2D3802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DEAB8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02E16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101BEA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2DEAB84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E81779"/>
    <w:multiLevelType w:val="multilevel"/>
    <w:tmpl w:val="7A021B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758"/>
    <w:rsid w:val="0004589E"/>
    <w:rsid w:val="00152BEB"/>
    <w:rsid w:val="002370B0"/>
    <w:rsid w:val="00255CD3"/>
    <w:rsid w:val="003649A3"/>
    <w:rsid w:val="00450A6A"/>
    <w:rsid w:val="004D0912"/>
    <w:rsid w:val="004F32BB"/>
    <w:rsid w:val="00542F49"/>
    <w:rsid w:val="00563F46"/>
    <w:rsid w:val="0063321E"/>
    <w:rsid w:val="00644971"/>
    <w:rsid w:val="00757753"/>
    <w:rsid w:val="007A5D6A"/>
    <w:rsid w:val="0080276B"/>
    <w:rsid w:val="008604CA"/>
    <w:rsid w:val="008D7BED"/>
    <w:rsid w:val="00990043"/>
    <w:rsid w:val="009A155E"/>
    <w:rsid w:val="009D1A8B"/>
    <w:rsid w:val="009E05AC"/>
    <w:rsid w:val="00A95E13"/>
    <w:rsid w:val="00B0418B"/>
    <w:rsid w:val="00B403E6"/>
    <w:rsid w:val="00C37F19"/>
    <w:rsid w:val="00C61758"/>
    <w:rsid w:val="00CB37A4"/>
    <w:rsid w:val="00DE14D9"/>
    <w:rsid w:val="00E12D59"/>
    <w:rsid w:val="00E22250"/>
    <w:rsid w:val="00F039D0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A0AE542"/>
  <w15:docId w15:val="{69799224-9607-417B-BDF6-4C4D62A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1758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644971"/>
    <w:pPr>
      <w:keepNext/>
      <w:numPr>
        <w:numId w:val="2"/>
      </w:numPr>
      <w:spacing w:after="60"/>
      <w:outlineLvl w:val="0"/>
    </w:pPr>
    <w:rPr>
      <w:rFonts w:ascii="Arial" w:hAnsi="Arial"/>
      <w:b/>
      <w:snapToGrid w:val="0"/>
      <w:sz w:val="26"/>
      <w:szCs w:val="26"/>
      <w:lang w:val="cs-CZ"/>
    </w:rPr>
  </w:style>
  <w:style w:type="paragraph" w:styleId="Nadpis2">
    <w:name w:val="heading 2"/>
    <w:basedOn w:val="Nadpis1"/>
    <w:next w:val="Normlny"/>
    <w:link w:val="Nadpis2Char"/>
    <w:qFormat/>
    <w:rsid w:val="00644971"/>
    <w:pPr>
      <w:numPr>
        <w:ilvl w:val="1"/>
      </w:numPr>
      <w:jc w:val="both"/>
      <w:outlineLvl w:val="1"/>
    </w:pPr>
    <w:rPr>
      <w:bCs/>
      <w:sz w:val="22"/>
      <w:szCs w:val="22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644971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0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61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75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rsid w:val="00644971"/>
    <w:rPr>
      <w:rFonts w:ascii="Arial" w:eastAsia="Times New Roman" w:hAnsi="Arial" w:cs="Times New Roman"/>
      <w:b/>
      <w:snapToGrid w:val="0"/>
      <w:sz w:val="26"/>
      <w:szCs w:val="26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644971"/>
    <w:rPr>
      <w:rFonts w:ascii="Arial" w:eastAsia="Times New Roman" w:hAnsi="Arial" w:cs="Times New Roman"/>
      <w:b/>
      <w:bCs/>
      <w:snapToGrid w:val="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644971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paragraph" w:styleId="Zkladntext">
    <w:name w:val="Body Text"/>
    <w:basedOn w:val="Normlny"/>
    <w:link w:val="ZkladntextChar"/>
    <w:qFormat/>
    <w:rsid w:val="00644971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449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8D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1663</Words>
  <Characters>9481</Characters>
  <Application>Microsoft Office Word</Application>
  <DocSecurity>0</DocSecurity>
  <Lines>79</Lines>
  <Paragraphs>22</Paragraphs>
  <ScaleCrop>false</ScaleCrop>
  <Company>Hi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SOS Zastupkyna</cp:lastModifiedBy>
  <cp:revision>29</cp:revision>
  <dcterms:created xsi:type="dcterms:W3CDTF">2018-11-20T09:17:00Z</dcterms:created>
  <dcterms:modified xsi:type="dcterms:W3CDTF">2018-11-21T07:42:00Z</dcterms:modified>
</cp:coreProperties>
</file>